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0"/>
        <w:ind w:hanging="0" w:left="0"/>
        <w:jc w:val="left"/>
        <w:rPr>
          <w:rFonts w:ascii="ＭＳ 明朝" w:hAnsi="ＭＳ 明朝" w:eastAsia="ＭＳ 明朝"/>
          <w:b/>
          <w:bCs/>
          <w:sz w:val="28"/>
          <w:szCs w:val="28"/>
        </w:rPr>
      </w:pPr>
      <w:r>
        <w:rPr>
          <w:rFonts w:eastAsia="ＭＳ 明朝" w:ascii="ＭＳ 明朝" w:hAnsi="ＭＳ 明朝"/>
          <w:b/>
          <w:bCs/>
          <w:sz w:val="28"/>
          <w:szCs w:val="28"/>
        </w:rPr>
      </w:r>
    </w:p>
    <w:p>
      <w:pPr>
        <w:pStyle w:val="Normal"/>
        <w:spacing w:lineRule="exact" w:line="400"/>
        <w:ind w:hanging="0" w:left="0"/>
        <w:jc w:val="left"/>
        <w:rPr>
          <w:rFonts w:ascii="ＭＳ 明朝" w:hAnsi="ＭＳ 明朝" w:eastAsia="ＭＳ 明朝"/>
          <w:b/>
          <w:bCs/>
          <w:sz w:val="28"/>
          <w:szCs w:val="28"/>
        </w:rPr>
      </w:pPr>
      <w:r>
        <w:rPr>
          <w:rFonts w:ascii="ＭＳ 明朝" w:hAnsi="ＭＳ 明朝" w:eastAsia="ＭＳ 明朝"/>
          <w:b/>
          <w:bCs/>
          <w:sz w:val="28"/>
          <w:szCs w:val="28"/>
        </w:rPr>
        <w:t>　ねんりんピック彩の国さいたま２０２</w:t>
      </w:r>
      <w:r>
        <w:rPr>
          <w:rFonts w:ascii="ＭＳ 明朝" w:hAnsi="ＭＳ 明朝" w:eastAsia="ＭＳ 明朝"/>
          <w:b/>
          <w:bCs/>
          <w:sz w:val="28"/>
          <w:szCs w:val="28"/>
        </w:rPr>
        <w:t>６　</w:t>
      </w:r>
      <w:r>
        <w:rPr>
          <w:rFonts w:ascii="ＭＳ 明朝" w:hAnsi="ＭＳ 明朝" w:eastAsia="ＭＳ 明朝"/>
          <w:b/>
          <w:bCs/>
          <w:sz w:val="28"/>
          <w:szCs w:val="28"/>
        </w:rPr>
        <w:t>久喜市協賛取扱要項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１　目的</w:t>
      </w:r>
    </w:p>
    <w:p>
      <w:pPr>
        <w:pStyle w:val="Normal"/>
        <w:ind w:firstLine="240" w:left="210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この要項は、ねんりんピック彩の国さいたま２０２６レクリエーションダンス交流大会（以下「大会」という。）における協賛の取扱いに関し、必要な事項を定める。</w:t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２　協賛の内容</w:t>
      </w:r>
    </w:p>
    <w:p>
      <w:pPr>
        <w:pStyle w:val="Normal"/>
        <w:ind w:firstLine="240" w:left="21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この要項において「協賛」とは、大会の趣旨に賛同する企業、各種団体等（以下「協賛者」という。）が、ねんりんピック彩の国さいたま２０２６久喜市実行委員会（以下「実行委員会」という。）が行う啓発及び歓迎装飾に係る物品、その他大会の運営に要する用具や実行委員会が必要とする物品等（以下「協賛物品」という。）について、提供又は貸与することをいう。</w:t>
      </w:r>
    </w:p>
    <w:p>
      <w:pPr>
        <w:pStyle w:val="Normal"/>
        <w:ind w:firstLine="240" w:left="21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ただし、資金による協賛の申出があったときは、その資金は協賛物品を購入するための予算に充当し、受け入れるものとする。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３　協賛の手続き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（１）協賛は、実行委員会において受け入れる。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（２）協賛の申込みは、協賛申込書（様式第１号）により行う。</w:t>
      </w:r>
    </w:p>
    <w:p>
      <w:pPr>
        <w:pStyle w:val="Normal"/>
        <w:ind w:hanging="720" w:left="720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（３）実行委員会は、協賛の受入れを決定し、これを受領したときは、協賛受領書（様式第２号）を発行する。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（４）協賛物品の搬入、据付、撤去等に要する費用は、協賛者の負担とする。</w:t>
      </w:r>
    </w:p>
    <w:p>
      <w:pPr>
        <w:pStyle w:val="Normal"/>
        <w:ind w:hanging="720" w:left="720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（５）資金による協賛は、協賛者に対し、口座振込依頼書（様式第３号）により実行委員会が指定する口座への振込を依頼する。なお、振込手数料は協賛者の負担とする。</w:t>
      </w:r>
    </w:p>
    <w:p>
      <w:pPr>
        <w:pStyle w:val="Normal"/>
        <w:ind w:hanging="720" w:left="720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（６）実行委員会は、協賛金を拠出した協賛者に対し、協賛金領収書（様式第４号）を発行する。</w:t>
      </w:r>
    </w:p>
    <w:p>
      <w:pPr>
        <w:pStyle w:val="Normal"/>
        <w:ind w:hanging="720" w:left="720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hanging="720" w:left="720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４　協賛として受け入れられないもの</w:t>
      </w:r>
    </w:p>
    <w:p>
      <w:pPr>
        <w:pStyle w:val="Normal"/>
        <w:ind w:firstLine="480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実行委員会は、次の各号のいずれかに該当する場合は、協賛を受け入れな</w:t>
      </w:r>
    </w:p>
    <w:p>
      <w:pPr>
        <w:pStyle w:val="Normal"/>
        <w:ind w:firstLine="240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いものとする。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（１）大会の趣旨に反するもの。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（２）公の秩序又は善良な風俗を乱す恐れがあると認められるもの。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（３）政治活動、宗教活動に係るものと認められるもの。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（４）個人の氏名を宣伝する恐れがあると認められるもの。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（５）その他、実行委員会において不適切と認めるもの。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５　協賛の表示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（１）協賛物品には、協賛者の意向に応じ協賛の表示を行うことができる。</w:t>
      </w:r>
    </w:p>
    <w:p>
      <w:pPr>
        <w:pStyle w:val="Normal"/>
        <w:ind w:firstLine="7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ただし、協賛物品に直接表示することが不適当な場合には、その他の方法</w:t>
      </w:r>
    </w:p>
    <w:p>
      <w:pPr>
        <w:pStyle w:val="Normal"/>
        <w:ind w:firstLine="7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により表示するものとする。</w:t>
      </w:r>
    </w:p>
    <w:p>
      <w:pPr>
        <w:pStyle w:val="Normal"/>
        <w:ind w:hanging="720" w:left="7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（２）前号の協賛の表示は、表示方法、表示箇所、文字等の大きさ等について、実行委員会と協議し、実行委員会の承認を得て行うものとする。</w:t>
      </w:r>
    </w:p>
    <w:p>
      <w:pPr>
        <w:pStyle w:val="Normal"/>
        <w:ind w:hanging="720" w:left="72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hanging="720" w:left="7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６　協賛者への謝意</w:t>
      </w:r>
    </w:p>
    <w:p>
      <w:pPr>
        <w:pStyle w:val="Normal"/>
        <w:ind w:firstLine="48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協賛の提供を受けたときは、協賛者に対し礼状等により感謝の意を表すと</w:t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ともに、必要に応じてホームページ等にその旨を掲載することができる。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７　協賛の申込期間</w:t>
      </w:r>
    </w:p>
    <w:p>
      <w:pPr>
        <w:pStyle w:val="Normal"/>
        <w:ind w:firstLine="48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令和８年４月１日（水）～令和８年８月３１日（月）</w:t>
      </w:r>
    </w:p>
    <w:p>
      <w:pPr>
        <w:pStyle w:val="Normal"/>
        <w:ind w:firstLine="48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ただし、申込状況に応じて、申込期間を延長することができるものとする。</w:t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８　その他</w:t>
      </w:r>
    </w:p>
    <w:p>
      <w:pPr>
        <w:pStyle w:val="Normal"/>
        <w:ind w:firstLine="240" w:left="21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この要項に定めるもののほか、協賛の取扱いに関し必要な事項は別に定めることができる。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firstLine="72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附　則</w:t>
      </w:r>
    </w:p>
    <w:p>
      <w:pPr>
        <w:pStyle w:val="Normal"/>
        <w:ind w:firstLine="24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この要項は、議決日から施行する。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1e02ed"/>
    <w:rPr/>
  </w:style>
  <w:style w:type="character" w:styleId="Style15" w:customStyle="1">
    <w:name w:val="フッター (文字)"/>
    <w:basedOn w:val="DefaultParagraphFont"/>
    <w:uiPriority w:val="99"/>
    <w:qFormat/>
    <w:rsid w:val="001e02ed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e02e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1e02e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8c3a4c"/>
    <w:pPr>
      <w:ind w:left="840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d7e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A7C32-D6F9-49B4-B73F-1CAA9C58173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987</TotalTime>
  <AppVersion>15.0000</AppVersion>
  <Pages>2</Pages>
  <Words>1135</Words>
  <Characters>1135</Characters>
  <CharactersWithSpaces>1146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2025-04-23T02:32:00Z</dcterms:created>
  <dc:language>ja-JP</dc:language>
  <dcterms:modified xsi:type="dcterms:W3CDTF">2026-04-24T11:17:32Z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